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A65" w:rsidRDefault="003E6A65" w:rsidP="001E1865">
      <w:pPr>
        <w:jc w:val="center"/>
        <w:rPr>
          <w:rFonts w:ascii="Times New Roman" w:hAnsi="Times New Roman" w:cs="Times New Roman"/>
          <w:b/>
          <w:sz w:val="24"/>
          <w:szCs w:val="24"/>
        </w:rPr>
      </w:pPr>
      <w:r>
        <w:rPr>
          <w:rFonts w:ascii="Times New Roman" w:hAnsi="Times New Roman" w:cs="Times New Roman"/>
          <w:b/>
          <w:sz w:val="24"/>
          <w:szCs w:val="24"/>
        </w:rPr>
        <w:t>WHITE PAPER</w:t>
      </w:r>
    </w:p>
    <w:p w:rsidR="00583A79" w:rsidRPr="003E6A65" w:rsidRDefault="0008053B" w:rsidP="001E1865">
      <w:pPr>
        <w:jc w:val="center"/>
        <w:rPr>
          <w:rFonts w:ascii="Times New Roman" w:hAnsi="Times New Roman" w:cs="Times New Roman"/>
          <w:b/>
          <w:sz w:val="24"/>
          <w:szCs w:val="24"/>
        </w:rPr>
      </w:pPr>
      <w:r w:rsidRPr="003E6A65">
        <w:rPr>
          <w:rFonts w:ascii="Times New Roman" w:hAnsi="Times New Roman" w:cs="Times New Roman"/>
          <w:b/>
          <w:sz w:val="24"/>
          <w:szCs w:val="24"/>
        </w:rPr>
        <w:t xml:space="preserve">Quiet Quitting and </w:t>
      </w:r>
      <w:r w:rsidR="008B0A5F">
        <w:rPr>
          <w:rFonts w:ascii="Times New Roman" w:hAnsi="Times New Roman" w:cs="Times New Roman"/>
          <w:b/>
          <w:sz w:val="24"/>
          <w:szCs w:val="24"/>
        </w:rPr>
        <w:t>a</w:t>
      </w:r>
      <w:bookmarkStart w:id="0" w:name="_GoBack"/>
      <w:bookmarkEnd w:id="0"/>
      <w:r w:rsidRPr="003E6A65">
        <w:rPr>
          <w:rFonts w:ascii="Times New Roman" w:hAnsi="Times New Roman" w:cs="Times New Roman"/>
          <w:b/>
          <w:sz w:val="24"/>
          <w:szCs w:val="24"/>
        </w:rPr>
        <w:t xml:space="preserve"> </w:t>
      </w:r>
      <w:r w:rsidR="001E1865" w:rsidRPr="003E6A65">
        <w:rPr>
          <w:rFonts w:ascii="Times New Roman" w:hAnsi="Times New Roman" w:cs="Times New Roman"/>
          <w:b/>
          <w:sz w:val="24"/>
          <w:szCs w:val="24"/>
        </w:rPr>
        <w:t xml:space="preserve">Pathway to Better </w:t>
      </w:r>
      <w:r w:rsidRPr="003E6A65">
        <w:rPr>
          <w:rFonts w:ascii="Times New Roman" w:hAnsi="Times New Roman" w:cs="Times New Roman"/>
          <w:b/>
          <w:sz w:val="24"/>
          <w:szCs w:val="24"/>
        </w:rPr>
        <w:t>Work</w:t>
      </w:r>
    </w:p>
    <w:p w:rsidR="001E1865" w:rsidRPr="003E6A65" w:rsidRDefault="001E1865" w:rsidP="001E1865">
      <w:pPr>
        <w:jc w:val="center"/>
        <w:rPr>
          <w:rFonts w:ascii="Times New Roman" w:hAnsi="Times New Roman" w:cs="Times New Roman"/>
          <w:sz w:val="24"/>
          <w:szCs w:val="24"/>
        </w:rPr>
      </w:pPr>
      <w:r w:rsidRPr="003E6A65">
        <w:rPr>
          <w:rFonts w:ascii="Times New Roman" w:hAnsi="Times New Roman" w:cs="Times New Roman"/>
          <w:sz w:val="24"/>
          <w:szCs w:val="24"/>
        </w:rPr>
        <w:t>Cristina G. Banks, PhD</w:t>
      </w:r>
    </w:p>
    <w:p w:rsidR="001E1865" w:rsidRPr="003E6A65" w:rsidRDefault="001E1865" w:rsidP="001E1865">
      <w:pPr>
        <w:jc w:val="center"/>
        <w:rPr>
          <w:rFonts w:ascii="Times New Roman" w:hAnsi="Times New Roman" w:cs="Times New Roman"/>
          <w:sz w:val="24"/>
          <w:szCs w:val="24"/>
        </w:rPr>
      </w:pPr>
      <w:r w:rsidRPr="003E6A65">
        <w:rPr>
          <w:rFonts w:ascii="Times New Roman" w:hAnsi="Times New Roman" w:cs="Times New Roman"/>
          <w:sz w:val="24"/>
          <w:szCs w:val="24"/>
        </w:rPr>
        <w:t>Interdisciplinary Center for Healthy Workplaces, UC Berkeley</w:t>
      </w:r>
    </w:p>
    <w:p w:rsidR="001E1865" w:rsidRPr="003E6A65" w:rsidRDefault="001E1865" w:rsidP="001E1865">
      <w:pPr>
        <w:jc w:val="center"/>
        <w:rPr>
          <w:rFonts w:ascii="Times New Roman" w:hAnsi="Times New Roman" w:cs="Times New Roman"/>
          <w:sz w:val="24"/>
          <w:szCs w:val="24"/>
        </w:rPr>
      </w:pPr>
    </w:p>
    <w:p w:rsidR="00320E27" w:rsidRPr="003E6A65" w:rsidRDefault="0008053B">
      <w:pPr>
        <w:rPr>
          <w:rFonts w:ascii="Times New Roman" w:hAnsi="Times New Roman" w:cs="Times New Roman"/>
          <w:sz w:val="24"/>
          <w:szCs w:val="24"/>
        </w:rPr>
      </w:pPr>
      <w:r w:rsidRPr="003E6A65">
        <w:rPr>
          <w:rFonts w:ascii="Times New Roman" w:hAnsi="Times New Roman" w:cs="Times New Roman"/>
          <w:sz w:val="24"/>
          <w:szCs w:val="24"/>
        </w:rPr>
        <w:t>What is “quiet quitting” really about</w:t>
      </w:r>
      <w:r w:rsidR="00E24C1D">
        <w:rPr>
          <w:rFonts w:ascii="Times New Roman" w:hAnsi="Times New Roman" w:cs="Times New Roman"/>
          <w:sz w:val="24"/>
          <w:szCs w:val="24"/>
        </w:rPr>
        <w:t xml:space="preserve"> (Goldberg, 2022)?</w:t>
      </w:r>
      <w:r w:rsidRPr="003E6A65">
        <w:rPr>
          <w:rFonts w:ascii="Times New Roman" w:hAnsi="Times New Roman" w:cs="Times New Roman"/>
          <w:sz w:val="24"/>
          <w:szCs w:val="24"/>
        </w:rPr>
        <w:t xml:space="preserve">  </w:t>
      </w:r>
      <w:r w:rsidR="00184830" w:rsidRPr="003E6A65">
        <w:rPr>
          <w:rFonts w:ascii="Times New Roman" w:hAnsi="Times New Roman" w:cs="Times New Roman"/>
          <w:sz w:val="24"/>
          <w:szCs w:val="24"/>
        </w:rPr>
        <w:t>Quiet quitting</w:t>
      </w:r>
      <w:r w:rsidRPr="003E6A65">
        <w:rPr>
          <w:rFonts w:ascii="Times New Roman" w:hAnsi="Times New Roman" w:cs="Times New Roman"/>
          <w:sz w:val="24"/>
          <w:szCs w:val="24"/>
        </w:rPr>
        <w:t xml:space="preserve"> has been described as a person’s unwillingness to perform their job above and beyond their job description.  In other words, they just do their job as hired.  It has also been described as bordering on laziness—doing only the minimum.  I think both descriptions miss the mark.  </w:t>
      </w:r>
    </w:p>
    <w:p w:rsidR="004D252C" w:rsidRPr="003E6A65" w:rsidRDefault="0008053B">
      <w:pPr>
        <w:rPr>
          <w:rFonts w:ascii="Times New Roman" w:hAnsi="Times New Roman" w:cs="Times New Roman"/>
          <w:sz w:val="24"/>
          <w:szCs w:val="24"/>
        </w:rPr>
      </w:pPr>
      <w:r w:rsidRPr="003E6A65">
        <w:rPr>
          <w:rFonts w:ascii="Times New Roman" w:hAnsi="Times New Roman" w:cs="Times New Roman"/>
          <w:sz w:val="24"/>
          <w:szCs w:val="24"/>
        </w:rPr>
        <w:t xml:space="preserve">To me, quiet quitting is about a person’s intrinsic motivation, the type of motivation that comes from a person’s values and goals irrespective of the external rewards or even threats of punishment attached to their performance level.  In this view of the phenomenon, a person has lost that drive to do more, to achieve more, to put in more time and effort than what is required.  It is understandable that the concept of “quiet quitting” has emerged and entered our consciousness even though it has been there for a long time but under a different name: disengagement.  </w:t>
      </w:r>
      <w:r w:rsidR="00F57844" w:rsidRPr="003E6A65">
        <w:rPr>
          <w:rFonts w:ascii="Times New Roman" w:hAnsi="Times New Roman" w:cs="Times New Roman"/>
          <w:sz w:val="24"/>
          <w:szCs w:val="24"/>
        </w:rPr>
        <w:t>Disengagement is the absence of intrinsic motivation</w:t>
      </w:r>
      <w:r w:rsidR="004D252C" w:rsidRPr="003E6A65">
        <w:rPr>
          <w:rFonts w:ascii="Times New Roman" w:hAnsi="Times New Roman" w:cs="Times New Roman"/>
          <w:sz w:val="24"/>
          <w:szCs w:val="24"/>
        </w:rPr>
        <w:t xml:space="preserve">: </w:t>
      </w:r>
      <w:r w:rsidR="00F57844" w:rsidRPr="003E6A65">
        <w:rPr>
          <w:rFonts w:ascii="Times New Roman" w:hAnsi="Times New Roman" w:cs="Times New Roman"/>
          <w:sz w:val="24"/>
          <w:szCs w:val="24"/>
        </w:rPr>
        <w:t>a person’s emotional attachment to performing at one’s best because it is personally important to do so.  W</w:t>
      </w:r>
      <w:r w:rsidRPr="003E6A65">
        <w:rPr>
          <w:rFonts w:ascii="Times New Roman" w:hAnsi="Times New Roman" w:cs="Times New Roman"/>
          <w:sz w:val="24"/>
          <w:szCs w:val="24"/>
        </w:rPr>
        <w:t xml:space="preserve">ork demands </w:t>
      </w:r>
      <w:r w:rsidR="00F57844" w:rsidRPr="003E6A65">
        <w:rPr>
          <w:rFonts w:ascii="Times New Roman" w:hAnsi="Times New Roman" w:cs="Times New Roman"/>
          <w:sz w:val="24"/>
          <w:szCs w:val="24"/>
        </w:rPr>
        <w:t>and productivity pressure contribute to the loss of intrinsic motivation when workers don’t have the right resources at the right time and in the right amount to meet these challenges (JD-R Model).  Without the appropriate level of physical and managerial resource support</w:t>
      </w:r>
      <w:r w:rsidR="009436E8" w:rsidRPr="003E6A65">
        <w:rPr>
          <w:rFonts w:ascii="Times New Roman" w:hAnsi="Times New Roman" w:cs="Times New Roman"/>
          <w:sz w:val="24"/>
          <w:szCs w:val="24"/>
        </w:rPr>
        <w:t xml:space="preserve"> and suppression of a host of </w:t>
      </w:r>
      <w:r w:rsidR="00F57844" w:rsidRPr="003E6A65">
        <w:rPr>
          <w:rFonts w:ascii="Times New Roman" w:hAnsi="Times New Roman" w:cs="Times New Roman"/>
          <w:sz w:val="24"/>
          <w:szCs w:val="24"/>
        </w:rPr>
        <w:t xml:space="preserve">productivity disruptors </w:t>
      </w:r>
      <w:r w:rsidR="009436E8" w:rsidRPr="003E6A65">
        <w:rPr>
          <w:rFonts w:ascii="Times New Roman" w:hAnsi="Times New Roman" w:cs="Times New Roman"/>
          <w:sz w:val="24"/>
          <w:szCs w:val="24"/>
        </w:rPr>
        <w:t>such as noise, interruptions, physical discomfort, unreliable technology, harassment, and inadequate work space, it is hard to avoid an emotional reaction of frustration, stress, anxiety, and potentially anger—all killers of intrinsic motivation and a disengagement trigger (Maslach &amp; Leiter,</w:t>
      </w:r>
      <w:r w:rsidR="00320E27" w:rsidRPr="003E6A65">
        <w:rPr>
          <w:rFonts w:ascii="Times New Roman" w:hAnsi="Times New Roman" w:cs="Times New Roman"/>
          <w:sz w:val="24"/>
          <w:szCs w:val="24"/>
        </w:rPr>
        <w:t xml:space="preserve"> </w:t>
      </w:r>
      <w:r w:rsidR="009436E8" w:rsidRPr="003E6A65">
        <w:rPr>
          <w:rFonts w:ascii="Times New Roman" w:hAnsi="Times New Roman" w:cs="Times New Roman"/>
          <w:sz w:val="24"/>
          <w:szCs w:val="24"/>
        </w:rPr>
        <w:t xml:space="preserve">2022).  </w:t>
      </w:r>
    </w:p>
    <w:p w:rsidR="0008053B" w:rsidRPr="003E6A65" w:rsidRDefault="004D252C">
      <w:pPr>
        <w:rPr>
          <w:rFonts w:ascii="Times New Roman" w:hAnsi="Times New Roman" w:cs="Times New Roman"/>
          <w:sz w:val="24"/>
          <w:szCs w:val="24"/>
        </w:rPr>
      </w:pPr>
      <w:r w:rsidRPr="003E6A65">
        <w:rPr>
          <w:rFonts w:ascii="Times New Roman" w:hAnsi="Times New Roman" w:cs="Times New Roman"/>
          <w:sz w:val="24"/>
          <w:szCs w:val="24"/>
        </w:rPr>
        <w:t>For many, t</w:t>
      </w:r>
      <w:r w:rsidR="009436E8" w:rsidRPr="003E6A65">
        <w:rPr>
          <w:rFonts w:ascii="Times New Roman" w:hAnsi="Times New Roman" w:cs="Times New Roman"/>
          <w:sz w:val="24"/>
          <w:szCs w:val="24"/>
        </w:rPr>
        <w:t xml:space="preserve">his trigger is especially close to </w:t>
      </w:r>
      <w:r w:rsidRPr="003E6A65">
        <w:rPr>
          <w:rFonts w:ascii="Times New Roman" w:hAnsi="Times New Roman" w:cs="Times New Roman"/>
          <w:sz w:val="24"/>
          <w:szCs w:val="24"/>
        </w:rPr>
        <w:t>the</w:t>
      </w:r>
      <w:r w:rsidR="009436E8" w:rsidRPr="003E6A65">
        <w:rPr>
          <w:rFonts w:ascii="Times New Roman" w:hAnsi="Times New Roman" w:cs="Times New Roman"/>
          <w:sz w:val="24"/>
          <w:szCs w:val="24"/>
        </w:rPr>
        <w:t xml:space="preserve"> surface </w:t>
      </w:r>
      <w:r w:rsidRPr="003E6A65">
        <w:rPr>
          <w:rFonts w:ascii="Times New Roman" w:hAnsi="Times New Roman" w:cs="Times New Roman"/>
          <w:sz w:val="24"/>
          <w:szCs w:val="24"/>
        </w:rPr>
        <w:t xml:space="preserve">emotionally </w:t>
      </w:r>
      <w:r w:rsidR="009436E8" w:rsidRPr="003E6A65">
        <w:rPr>
          <w:rFonts w:ascii="Times New Roman" w:hAnsi="Times New Roman" w:cs="Times New Roman"/>
          <w:sz w:val="24"/>
          <w:szCs w:val="24"/>
        </w:rPr>
        <w:t xml:space="preserve">because workers have experienced better control of their </w:t>
      </w:r>
      <w:r w:rsidR="009436E8" w:rsidRPr="003E6A65">
        <w:rPr>
          <w:rFonts w:ascii="Times New Roman" w:hAnsi="Times New Roman" w:cs="Times New Roman"/>
          <w:i/>
          <w:sz w:val="24"/>
          <w:szCs w:val="24"/>
        </w:rPr>
        <w:t>work time</w:t>
      </w:r>
      <w:r w:rsidR="009436E8" w:rsidRPr="003E6A65">
        <w:rPr>
          <w:rFonts w:ascii="Times New Roman" w:hAnsi="Times New Roman" w:cs="Times New Roman"/>
          <w:sz w:val="24"/>
          <w:szCs w:val="24"/>
        </w:rPr>
        <w:t xml:space="preserve"> thanks to COVID</w:t>
      </w:r>
      <w:r w:rsidRPr="003E6A65">
        <w:rPr>
          <w:rFonts w:ascii="Times New Roman" w:hAnsi="Times New Roman" w:cs="Times New Roman"/>
          <w:sz w:val="24"/>
          <w:szCs w:val="24"/>
        </w:rPr>
        <w:t xml:space="preserve"> by </w:t>
      </w:r>
      <w:r w:rsidR="009436E8" w:rsidRPr="003E6A65">
        <w:rPr>
          <w:rFonts w:ascii="Times New Roman" w:hAnsi="Times New Roman" w:cs="Times New Roman"/>
          <w:sz w:val="24"/>
          <w:szCs w:val="24"/>
        </w:rPr>
        <w:t xml:space="preserve">enabling </w:t>
      </w:r>
      <w:r w:rsidRPr="003E6A65">
        <w:rPr>
          <w:rFonts w:ascii="Times New Roman" w:hAnsi="Times New Roman" w:cs="Times New Roman"/>
          <w:sz w:val="24"/>
          <w:szCs w:val="24"/>
        </w:rPr>
        <w:t>them</w:t>
      </w:r>
      <w:r w:rsidR="009436E8" w:rsidRPr="003E6A65">
        <w:rPr>
          <w:rFonts w:ascii="Times New Roman" w:hAnsi="Times New Roman" w:cs="Times New Roman"/>
          <w:sz w:val="24"/>
          <w:szCs w:val="24"/>
        </w:rPr>
        <w:t xml:space="preserve"> to work from home</w:t>
      </w:r>
      <w:r w:rsidR="003B37F9" w:rsidRPr="003E6A65">
        <w:rPr>
          <w:rFonts w:ascii="Times New Roman" w:hAnsi="Times New Roman" w:cs="Times New Roman"/>
          <w:sz w:val="24"/>
          <w:szCs w:val="24"/>
        </w:rPr>
        <w:t xml:space="preserve">, away from in-person surveillance by their managers </w:t>
      </w:r>
      <w:r w:rsidR="009436E8" w:rsidRPr="003E6A65">
        <w:rPr>
          <w:rFonts w:ascii="Times New Roman" w:hAnsi="Times New Roman" w:cs="Times New Roman"/>
          <w:sz w:val="24"/>
          <w:szCs w:val="24"/>
        </w:rPr>
        <w:t>and from</w:t>
      </w:r>
      <w:r w:rsidR="003B37F9" w:rsidRPr="003E6A65">
        <w:rPr>
          <w:rFonts w:ascii="Times New Roman" w:hAnsi="Times New Roman" w:cs="Times New Roman"/>
          <w:sz w:val="24"/>
          <w:szCs w:val="24"/>
        </w:rPr>
        <w:t xml:space="preserve"> work disruptors that elongated the workday</w:t>
      </w:r>
      <w:r w:rsidR="009436E8" w:rsidRPr="003E6A65">
        <w:rPr>
          <w:rFonts w:ascii="Times New Roman" w:hAnsi="Times New Roman" w:cs="Times New Roman"/>
          <w:sz w:val="24"/>
          <w:szCs w:val="24"/>
        </w:rPr>
        <w:t xml:space="preserve">.  While not entirely sufficient, </w:t>
      </w:r>
      <w:r w:rsidR="003B37F9" w:rsidRPr="003E6A65">
        <w:rPr>
          <w:rFonts w:ascii="Times New Roman" w:hAnsi="Times New Roman" w:cs="Times New Roman"/>
          <w:sz w:val="24"/>
          <w:szCs w:val="24"/>
        </w:rPr>
        <w:t xml:space="preserve">resources provided to </w:t>
      </w:r>
      <w:r w:rsidRPr="003E6A65">
        <w:rPr>
          <w:rFonts w:ascii="Times New Roman" w:hAnsi="Times New Roman" w:cs="Times New Roman"/>
          <w:sz w:val="24"/>
          <w:szCs w:val="24"/>
        </w:rPr>
        <w:t>remote work</w:t>
      </w:r>
      <w:r w:rsidR="003B37F9" w:rsidRPr="003E6A65">
        <w:rPr>
          <w:rFonts w:ascii="Times New Roman" w:hAnsi="Times New Roman" w:cs="Times New Roman"/>
          <w:sz w:val="24"/>
          <w:szCs w:val="24"/>
        </w:rPr>
        <w:t>ers</w:t>
      </w:r>
      <w:r w:rsidRPr="003E6A65">
        <w:rPr>
          <w:rFonts w:ascii="Times New Roman" w:hAnsi="Times New Roman" w:cs="Times New Roman"/>
          <w:sz w:val="24"/>
          <w:szCs w:val="24"/>
        </w:rPr>
        <w:t xml:space="preserve"> </w:t>
      </w:r>
      <w:r w:rsidR="003B37F9" w:rsidRPr="003E6A65">
        <w:rPr>
          <w:rFonts w:ascii="Times New Roman" w:hAnsi="Times New Roman" w:cs="Times New Roman"/>
          <w:sz w:val="24"/>
          <w:szCs w:val="24"/>
        </w:rPr>
        <w:t xml:space="preserve">kept </w:t>
      </w:r>
      <w:r w:rsidRPr="003E6A65">
        <w:rPr>
          <w:rFonts w:ascii="Times New Roman" w:hAnsi="Times New Roman" w:cs="Times New Roman"/>
          <w:sz w:val="24"/>
          <w:szCs w:val="24"/>
        </w:rPr>
        <w:t>the wheels on the organizational wagon, allowing workers to be as productive as they were before the pandemic</w:t>
      </w:r>
      <w:r w:rsidR="003B37F9" w:rsidRPr="003E6A65">
        <w:rPr>
          <w:rFonts w:ascii="Times New Roman" w:hAnsi="Times New Roman" w:cs="Times New Roman"/>
          <w:sz w:val="24"/>
          <w:szCs w:val="24"/>
        </w:rPr>
        <w:t xml:space="preserve"> in a shorter total </w:t>
      </w:r>
      <w:r w:rsidRPr="003E6A65">
        <w:rPr>
          <w:rFonts w:ascii="Times New Roman" w:hAnsi="Times New Roman" w:cs="Times New Roman"/>
          <w:sz w:val="24"/>
          <w:szCs w:val="24"/>
        </w:rPr>
        <w:t xml:space="preserve">work day.  </w:t>
      </w:r>
      <w:r w:rsidR="003B37F9" w:rsidRPr="003E6A65">
        <w:rPr>
          <w:rFonts w:ascii="Times New Roman" w:hAnsi="Times New Roman" w:cs="Times New Roman"/>
          <w:sz w:val="24"/>
          <w:szCs w:val="24"/>
        </w:rPr>
        <w:t xml:space="preserve">A greater ability to control work time is the differentiating factor. It </w:t>
      </w:r>
      <w:r w:rsidRPr="003E6A65">
        <w:rPr>
          <w:rFonts w:ascii="Times New Roman" w:hAnsi="Times New Roman" w:cs="Times New Roman"/>
          <w:sz w:val="24"/>
          <w:szCs w:val="24"/>
        </w:rPr>
        <w:t xml:space="preserve">sets up a </w:t>
      </w:r>
      <w:r w:rsidRPr="003E6A65">
        <w:rPr>
          <w:rFonts w:ascii="Times New Roman" w:hAnsi="Times New Roman" w:cs="Times New Roman"/>
          <w:i/>
          <w:sz w:val="24"/>
          <w:szCs w:val="24"/>
        </w:rPr>
        <w:t>new normal</w:t>
      </w:r>
      <w:r w:rsidRPr="003E6A65">
        <w:rPr>
          <w:rFonts w:ascii="Times New Roman" w:hAnsi="Times New Roman" w:cs="Times New Roman"/>
          <w:sz w:val="24"/>
          <w:szCs w:val="24"/>
        </w:rPr>
        <w:t xml:space="preserve"> for </w:t>
      </w:r>
      <w:r w:rsidR="003B37F9" w:rsidRPr="003E6A65">
        <w:rPr>
          <w:rFonts w:ascii="Times New Roman" w:hAnsi="Times New Roman" w:cs="Times New Roman"/>
          <w:sz w:val="24"/>
          <w:szCs w:val="24"/>
        </w:rPr>
        <w:t>the amount of time devoted to work in order to meet performance expectations.  The new contract is</w:t>
      </w:r>
      <w:r w:rsidRPr="003E6A65">
        <w:rPr>
          <w:rFonts w:ascii="Times New Roman" w:hAnsi="Times New Roman" w:cs="Times New Roman"/>
          <w:sz w:val="24"/>
          <w:szCs w:val="24"/>
        </w:rPr>
        <w:t xml:space="preserve"> getting tasks done that need to be done</w:t>
      </w:r>
      <w:r w:rsidR="003B37F9" w:rsidRPr="003E6A65">
        <w:rPr>
          <w:rFonts w:ascii="Times New Roman" w:hAnsi="Times New Roman" w:cs="Times New Roman"/>
          <w:sz w:val="24"/>
          <w:szCs w:val="24"/>
        </w:rPr>
        <w:t xml:space="preserve"> during the </w:t>
      </w:r>
      <w:r w:rsidR="00320E27" w:rsidRPr="003E6A65">
        <w:rPr>
          <w:rFonts w:ascii="Times New Roman" w:hAnsi="Times New Roman" w:cs="Times New Roman"/>
          <w:i/>
          <w:sz w:val="24"/>
          <w:szCs w:val="24"/>
        </w:rPr>
        <w:t>personally-</w:t>
      </w:r>
      <w:r w:rsidR="006A6EA5" w:rsidRPr="003E6A65">
        <w:rPr>
          <w:rFonts w:ascii="Times New Roman" w:hAnsi="Times New Roman" w:cs="Times New Roman"/>
          <w:i/>
          <w:sz w:val="24"/>
          <w:szCs w:val="24"/>
        </w:rPr>
        <w:t>adjusted</w:t>
      </w:r>
      <w:r w:rsidR="006A6EA5" w:rsidRPr="003E6A65">
        <w:rPr>
          <w:rFonts w:ascii="Times New Roman" w:hAnsi="Times New Roman" w:cs="Times New Roman"/>
          <w:sz w:val="24"/>
          <w:szCs w:val="24"/>
        </w:rPr>
        <w:t xml:space="preserve"> </w:t>
      </w:r>
      <w:r w:rsidR="003B37F9" w:rsidRPr="003E6A65">
        <w:rPr>
          <w:rFonts w:ascii="Times New Roman" w:hAnsi="Times New Roman" w:cs="Times New Roman"/>
          <w:sz w:val="24"/>
          <w:szCs w:val="24"/>
        </w:rPr>
        <w:t>work day</w:t>
      </w:r>
      <w:r w:rsidRPr="003E6A65">
        <w:rPr>
          <w:rFonts w:ascii="Times New Roman" w:hAnsi="Times New Roman" w:cs="Times New Roman"/>
          <w:sz w:val="24"/>
          <w:szCs w:val="24"/>
        </w:rPr>
        <w:t>—no more and no less</w:t>
      </w:r>
      <w:r w:rsidR="00320E27" w:rsidRPr="003E6A65">
        <w:rPr>
          <w:rFonts w:ascii="Times New Roman" w:hAnsi="Times New Roman" w:cs="Times New Roman"/>
          <w:sz w:val="24"/>
          <w:szCs w:val="24"/>
        </w:rPr>
        <w:t xml:space="preserve"> than required</w:t>
      </w:r>
      <w:r w:rsidRPr="003E6A65">
        <w:rPr>
          <w:rFonts w:ascii="Times New Roman" w:hAnsi="Times New Roman" w:cs="Times New Roman"/>
          <w:sz w:val="24"/>
          <w:szCs w:val="24"/>
        </w:rPr>
        <w:t xml:space="preserve">. </w:t>
      </w:r>
      <w:r w:rsidR="009436E8" w:rsidRPr="003E6A65">
        <w:rPr>
          <w:rFonts w:ascii="Times New Roman" w:hAnsi="Times New Roman" w:cs="Times New Roman"/>
          <w:sz w:val="24"/>
          <w:szCs w:val="24"/>
        </w:rPr>
        <w:t xml:space="preserve"> </w:t>
      </w:r>
      <w:r w:rsidR="006A6EA5" w:rsidRPr="003E6A65">
        <w:rPr>
          <w:rFonts w:ascii="Times New Roman" w:hAnsi="Times New Roman" w:cs="Times New Roman"/>
          <w:sz w:val="24"/>
          <w:szCs w:val="24"/>
        </w:rPr>
        <w:t xml:space="preserve">Quiet quitting </w:t>
      </w:r>
      <w:r w:rsidR="00320E27" w:rsidRPr="003E6A65">
        <w:rPr>
          <w:rFonts w:ascii="Times New Roman" w:hAnsi="Times New Roman" w:cs="Times New Roman"/>
          <w:sz w:val="24"/>
          <w:szCs w:val="24"/>
        </w:rPr>
        <w:t xml:space="preserve">is </w:t>
      </w:r>
      <w:r w:rsidR="006A6EA5" w:rsidRPr="003E6A65">
        <w:rPr>
          <w:rFonts w:ascii="Times New Roman" w:hAnsi="Times New Roman" w:cs="Times New Roman"/>
          <w:sz w:val="24"/>
          <w:szCs w:val="24"/>
        </w:rPr>
        <w:t xml:space="preserve">an acknowledgement that the contract between </w:t>
      </w:r>
      <w:r w:rsidR="00320E27" w:rsidRPr="003E6A65">
        <w:rPr>
          <w:rFonts w:ascii="Times New Roman" w:hAnsi="Times New Roman" w:cs="Times New Roman"/>
          <w:sz w:val="24"/>
          <w:szCs w:val="24"/>
        </w:rPr>
        <w:t xml:space="preserve">workers </w:t>
      </w:r>
      <w:r w:rsidR="006A6EA5" w:rsidRPr="003E6A65">
        <w:rPr>
          <w:rFonts w:ascii="Times New Roman" w:hAnsi="Times New Roman" w:cs="Times New Roman"/>
          <w:sz w:val="24"/>
          <w:szCs w:val="24"/>
        </w:rPr>
        <w:t xml:space="preserve">and their </w:t>
      </w:r>
      <w:r w:rsidR="00320E27" w:rsidRPr="003E6A65">
        <w:rPr>
          <w:rFonts w:ascii="Times New Roman" w:hAnsi="Times New Roman" w:cs="Times New Roman"/>
          <w:sz w:val="24"/>
          <w:szCs w:val="24"/>
        </w:rPr>
        <w:t xml:space="preserve">employer </w:t>
      </w:r>
      <w:r w:rsidR="006A6EA5" w:rsidRPr="003E6A65">
        <w:rPr>
          <w:rFonts w:ascii="Times New Roman" w:hAnsi="Times New Roman" w:cs="Times New Roman"/>
          <w:sz w:val="24"/>
          <w:szCs w:val="24"/>
        </w:rPr>
        <w:t>has changed to something more sustainable, livable, and healthier</w:t>
      </w:r>
      <w:r w:rsidR="00320E27" w:rsidRPr="003E6A65">
        <w:rPr>
          <w:rFonts w:ascii="Times New Roman" w:hAnsi="Times New Roman" w:cs="Times New Roman"/>
          <w:sz w:val="24"/>
          <w:szCs w:val="24"/>
        </w:rPr>
        <w:t>;</w:t>
      </w:r>
      <w:r w:rsidR="006A6EA5" w:rsidRPr="003E6A65">
        <w:rPr>
          <w:rFonts w:ascii="Times New Roman" w:hAnsi="Times New Roman" w:cs="Times New Roman"/>
          <w:sz w:val="24"/>
          <w:szCs w:val="24"/>
        </w:rPr>
        <w:t xml:space="preserve"> there is little interest in going back to pre-pandemic expectations of long hours, overwork, exhaustion, job strain, and illness—for the sake of the organization’s </w:t>
      </w:r>
      <w:r w:rsidR="009B67C0" w:rsidRPr="003E6A65">
        <w:rPr>
          <w:rFonts w:ascii="Times New Roman" w:hAnsi="Times New Roman" w:cs="Times New Roman"/>
          <w:sz w:val="24"/>
          <w:szCs w:val="24"/>
        </w:rPr>
        <w:t xml:space="preserve">increasing </w:t>
      </w:r>
      <w:r w:rsidR="006A6EA5" w:rsidRPr="003E6A65">
        <w:rPr>
          <w:rFonts w:ascii="Times New Roman" w:hAnsi="Times New Roman" w:cs="Times New Roman"/>
          <w:sz w:val="24"/>
          <w:szCs w:val="24"/>
        </w:rPr>
        <w:t xml:space="preserve">expectations of </w:t>
      </w:r>
      <w:r w:rsidR="009B67C0" w:rsidRPr="003E6A65">
        <w:rPr>
          <w:rFonts w:ascii="Times New Roman" w:hAnsi="Times New Roman" w:cs="Times New Roman"/>
          <w:sz w:val="24"/>
          <w:szCs w:val="24"/>
        </w:rPr>
        <w:t>greater</w:t>
      </w:r>
      <w:r w:rsidR="006A6EA5" w:rsidRPr="003E6A65">
        <w:rPr>
          <w:rFonts w:ascii="Times New Roman" w:hAnsi="Times New Roman" w:cs="Times New Roman"/>
          <w:sz w:val="24"/>
          <w:szCs w:val="24"/>
        </w:rPr>
        <w:t xml:space="preserve"> achievements.</w:t>
      </w:r>
    </w:p>
    <w:p w:rsidR="002A7A8D" w:rsidRPr="003E6A65" w:rsidRDefault="00E845CF">
      <w:pPr>
        <w:rPr>
          <w:rFonts w:ascii="Times New Roman" w:hAnsi="Times New Roman" w:cs="Times New Roman"/>
          <w:sz w:val="24"/>
          <w:szCs w:val="24"/>
        </w:rPr>
      </w:pPr>
      <w:r w:rsidRPr="003E6A65">
        <w:rPr>
          <w:rFonts w:ascii="Times New Roman" w:hAnsi="Times New Roman" w:cs="Times New Roman"/>
          <w:sz w:val="24"/>
          <w:szCs w:val="24"/>
        </w:rPr>
        <w:t>Why is there little acknowledgement of a changed contract? The Great Resignation signal</w:t>
      </w:r>
      <w:r w:rsidR="00320E27" w:rsidRPr="003E6A65">
        <w:rPr>
          <w:rFonts w:ascii="Times New Roman" w:hAnsi="Times New Roman" w:cs="Times New Roman"/>
          <w:sz w:val="24"/>
          <w:szCs w:val="24"/>
        </w:rPr>
        <w:t>ed</w:t>
      </w:r>
      <w:r w:rsidRPr="003E6A65">
        <w:rPr>
          <w:rFonts w:ascii="Times New Roman" w:hAnsi="Times New Roman" w:cs="Times New Roman"/>
          <w:sz w:val="24"/>
          <w:szCs w:val="24"/>
        </w:rPr>
        <w:t xml:space="preserve"> that the pre-pandemic contract expired</w:t>
      </w:r>
      <w:r w:rsidR="00320E27" w:rsidRPr="003E6A65">
        <w:rPr>
          <w:rFonts w:ascii="Times New Roman" w:hAnsi="Times New Roman" w:cs="Times New Roman"/>
          <w:sz w:val="24"/>
          <w:szCs w:val="24"/>
        </w:rPr>
        <w:t>.  T</w:t>
      </w:r>
      <w:r w:rsidRPr="003E6A65">
        <w:rPr>
          <w:rFonts w:ascii="Times New Roman" w:hAnsi="Times New Roman" w:cs="Times New Roman"/>
          <w:sz w:val="24"/>
          <w:szCs w:val="24"/>
        </w:rPr>
        <w:t xml:space="preserve">he reason workers gave for reporting their intention to quit </w:t>
      </w:r>
      <w:r w:rsidRPr="003E6A65">
        <w:rPr>
          <w:rFonts w:ascii="Times New Roman" w:hAnsi="Times New Roman" w:cs="Times New Roman"/>
          <w:sz w:val="24"/>
          <w:szCs w:val="24"/>
        </w:rPr>
        <w:lastRenderedPageBreak/>
        <w:t xml:space="preserve">their employers was to find a better “deal” such as better pay, better working conditions, and greater opportunities for development (Pew Research, 2022).  Nonetheless, organizational leaders continue their quest to get workers back to the office and working much like they did before the pandemic (Microsoft, 2021). </w:t>
      </w:r>
      <w:r w:rsidR="002A7A8D" w:rsidRPr="003E6A65">
        <w:rPr>
          <w:rFonts w:ascii="Times New Roman" w:hAnsi="Times New Roman" w:cs="Times New Roman"/>
          <w:sz w:val="24"/>
          <w:szCs w:val="24"/>
        </w:rPr>
        <w:t xml:space="preserve"> T</w:t>
      </w:r>
      <w:r w:rsidRPr="003E6A65">
        <w:rPr>
          <w:rFonts w:ascii="Times New Roman" w:hAnsi="Times New Roman" w:cs="Times New Roman"/>
          <w:sz w:val="24"/>
          <w:szCs w:val="24"/>
        </w:rPr>
        <w:t xml:space="preserve">his sets up an interesting problem: how can managers respond to the </w:t>
      </w:r>
      <w:r w:rsidRPr="003E6A65">
        <w:rPr>
          <w:rFonts w:ascii="Times New Roman" w:hAnsi="Times New Roman" w:cs="Times New Roman"/>
          <w:i/>
          <w:sz w:val="24"/>
          <w:szCs w:val="24"/>
        </w:rPr>
        <w:t xml:space="preserve">new needs </w:t>
      </w:r>
      <w:r w:rsidRPr="003E6A65">
        <w:rPr>
          <w:rFonts w:ascii="Times New Roman" w:hAnsi="Times New Roman" w:cs="Times New Roman"/>
          <w:sz w:val="24"/>
          <w:szCs w:val="24"/>
        </w:rPr>
        <w:t xml:space="preserve">of their direct reports when their bosses are managing like its time to “get back to work?” (Microsoft, 2022).  </w:t>
      </w:r>
      <w:r w:rsidR="00296428">
        <w:rPr>
          <w:rFonts w:ascii="Times New Roman" w:hAnsi="Times New Roman" w:cs="Times New Roman"/>
          <w:sz w:val="24"/>
          <w:szCs w:val="24"/>
        </w:rPr>
        <w:t>Thinking about healthy workplaces as a strategic benefit may be a way forward and create an opportunity to create a win-win (Banks &amp; Witt, 2021).</w:t>
      </w:r>
    </w:p>
    <w:p w:rsidR="000A6576" w:rsidRPr="003E6A65" w:rsidRDefault="00E845CF">
      <w:pPr>
        <w:rPr>
          <w:rFonts w:ascii="Times New Roman" w:hAnsi="Times New Roman" w:cs="Times New Roman"/>
          <w:sz w:val="24"/>
          <w:szCs w:val="24"/>
        </w:rPr>
      </w:pPr>
      <w:r w:rsidRPr="003E6A65">
        <w:rPr>
          <w:rFonts w:ascii="Times New Roman" w:hAnsi="Times New Roman" w:cs="Times New Roman"/>
          <w:sz w:val="24"/>
          <w:szCs w:val="24"/>
        </w:rPr>
        <w:t xml:space="preserve">Managers are being squeezed from both the top and </w:t>
      </w:r>
      <w:r w:rsidR="002A7A8D" w:rsidRPr="003E6A65">
        <w:rPr>
          <w:rFonts w:ascii="Times New Roman" w:hAnsi="Times New Roman" w:cs="Times New Roman"/>
          <w:sz w:val="24"/>
          <w:szCs w:val="24"/>
        </w:rPr>
        <w:t xml:space="preserve">from </w:t>
      </w:r>
      <w:r w:rsidRPr="003E6A65">
        <w:rPr>
          <w:rFonts w:ascii="Times New Roman" w:hAnsi="Times New Roman" w:cs="Times New Roman"/>
          <w:sz w:val="24"/>
          <w:szCs w:val="24"/>
        </w:rPr>
        <w:t xml:space="preserve">the bottom of their organizations to do opposite things (SHRM, 2022). </w:t>
      </w:r>
      <w:r w:rsidR="002A7A8D" w:rsidRPr="003E6A65">
        <w:rPr>
          <w:rFonts w:ascii="Times New Roman" w:hAnsi="Times New Roman" w:cs="Times New Roman"/>
          <w:sz w:val="24"/>
          <w:szCs w:val="24"/>
        </w:rPr>
        <w:t xml:space="preserve"> </w:t>
      </w:r>
      <w:r w:rsidR="00E64C0F" w:rsidRPr="003E6A65">
        <w:rPr>
          <w:rFonts w:ascii="Times New Roman" w:hAnsi="Times New Roman" w:cs="Times New Roman"/>
          <w:sz w:val="24"/>
          <w:szCs w:val="24"/>
        </w:rPr>
        <w:t xml:space="preserve">Leadership </w:t>
      </w:r>
      <w:r w:rsidR="002A7A8D" w:rsidRPr="003E6A65">
        <w:rPr>
          <w:rFonts w:ascii="Times New Roman" w:hAnsi="Times New Roman" w:cs="Times New Roman"/>
          <w:sz w:val="24"/>
          <w:szCs w:val="24"/>
        </w:rPr>
        <w:t>want</w:t>
      </w:r>
      <w:r w:rsidR="00E64C0F" w:rsidRPr="003E6A65">
        <w:rPr>
          <w:rFonts w:ascii="Times New Roman" w:hAnsi="Times New Roman" w:cs="Times New Roman"/>
          <w:sz w:val="24"/>
          <w:szCs w:val="24"/>
        </w:rPr>
        <w:t>s</w:t>
      </w:r>
      <w:r w:rsidR="002A7A8D" w:rsidRPr="003E6A65">
        <w:rPr>
          <w:rFonts w:ascii="Times New Roman" w:hAnsi="Times New Roman" w:cs="Times New Roman"/>
          <w:sz w:val="24"/>
          <w:szCs w:val="24"/>
        </w:rPr>
        <w:t xml:space="preserve"> </w:t>
      </w:r>
      <w:r w:rsidR="00E64C0F" w:rsidRPr="003E6A65">
        <w:rPr>
          <w:rFonts w:ascii="Times New Roman" w:hAnsi="Times New Roman" w:cs="Times New Roman"/>
          <w:sz w:val="24"/>
          <w:szCs w:val="24"/>
        </w:rPr>
        <w:t xml:space="preserve">managers </w:t>
      </w:r>
      <w:r w:rsidR="002A7A8D" w:rsidRPr="003E6A65">
        <w:rPr>
          <w:rFonts w:ascii="Times New Roman" w:hAnsi="Times New Roman" w:cs="Times New Roman"/>
          <w:sz w:val="24"/>
          <w:szCs w:val="24"/>
        </w:rPr>
        <w:t>to focus their direct reports on business needs that t</w:t>
      </w:r>
      <w:r w:rsidR="00E64C0F" w:rsidRPr="003E6A65">
        <w:rPr>
          <w:rFonts w:ascii="Times New Roman" w:hAnsi="Times New Roman" w:cs="Times New Roman"/>
          <w:sz w:val="24"/>
          <w:szCs w:val="24"/>
        </w:rPr>
        <w:t>ake</w:t>
      </w:r>
      <w:r w:rsidR="002A7A8D" w:rsidRPr="003E6A65">
        <w:rPr>
          <w:rFonts w:ascii="Times New Roman" w:hAnsi="Times New Roman" w:cs="Times New Roman"/>
          <w:sz w:val="24"/>
          <w:szCs w:val="24"/>
        </w:rPr>
        <w:t xml:space="preserve"> a back burner when people work from home.  For example, creativity and innovation suffered as workers went remote, removing in-person casual and out-of-professional-network conversations needed to break loose new ideas and broaden perspectives.  Innovation is not problem-solving over Zoom.  Business development, marketing, and customer relationship-building efforts also are </w:t>
      </w:r>
      <w:r w:rsidR="00E64C0F" w:rsidRPr="003E6A65">
        <w:rPr>
          <w:rFonts w:ascii="Times New Roman" w:hAnsi="Times New Roman" w:cs="Times New Roman"/>
          <w:sz w:val="24"/>
          <w:szCs w:val="24"/>
        </w:rPr>
        <w:t xml:space="preserve">difficult to do effectively </w:t>
      </w:r>
      <w:r w:rsidR="002A7A8D" w:rsidRPr="003E6A65">
        <w:rPr>
          <w:rFonts w:ascii="Times New Roman" w:hAnsi="Times New Roman" w:cs="Times New Roman"/>
          <w:sz w:val="24"/>
          <w:szCs w:val="24"/>
        </w:rPr>
        <w:t xml:space="preserve">virtually.  Managers need workers to be in-person and to dedicate time to conduct these important duties.  At the same time, workers need managers to help them solve work-related problems, develop their professional skills, manage their performance </w:t>
      </w:r>
      <w:r w:rsidR="00E64C0F" w:rsidRPr="003E6A65">
        <w:rPr>
          <w:rFonts w:ascii="Times New Roman" w:hAnsi="Times New Roman" w:cs="Times New Roman"/>
          <w:sz w:val="24"/>
          <w:szCs w:val="24"/>
        </w:rPr>
        <w:t xml:space="preserve">and give them frequent feedback and coaching </w:t>
      </w:r>
      <w:r w:rsidR="002A7A8D" w:rsidRPr="003E6A65">
        <w:rPr>
          <w:rFonts w:ascii="Times New Roman" w:hAnsi="Times New Roman" w:cs="Times New Roman"/>
          <w:sz w:val="24"/>
          <w:szCs w:val="24"/>
        </w:rPr>
        <w:t>so that they can be promoted</w:t>
      </w:r>
      <w:r w:rsidR="007346A9" w:rsidRPr="003E6A65">
        <w:rPr>
          <w:rFonts w:ascii="Times New Roman" w:hAnsi="Times New Roman" w:cs="Times New Roman"/>
          <w:sz w:val="24"/>
          <w:szCs w:val="24"/>
        </w:rPr>
        <w:t xml:space="preserve">.  Workers </w:t>
      </w:r>
      <w:r w:rsidR="00E64C0F" w:rsidRPr="003E6A65">
        <w:rPr>
          <w:rFonts w:ascii="Times New Roman" w:hAnsi="Times New Roman" w:cs="Times New Roman"/>
          <w:sz w:val="24"/>
          <w:szCs w:val="24"/>
        </w:rPr>
        <w:t xml:space="preserve">need to take time away from tasks </w:t>
      </w:r>
      <w:r w:rsidR="007346A9" w:rsidRPr="003E6A65">
        <w:rPr>
          <w:rFonts w:ascii="Times New Roman" w:hAnsi="Times New Roman" w:cs="Times New Roman"/>
          <w:sz w:val="24"/>
          <w:szCs w:val="24"/>
        </w:rPr>
        <w:t xml:space="preserve">to reconnect with their friends and colleagues at work to cement their feeling of belonging.  But, managers are workers, too, and </w:t>
      </w:r>
      <w:r w:rsidR="00E64C0F" w:rsidRPr="003E6A65">
        <w:rPr>
          <w:rFonts w:ascii="Times New Roman" w:hAnsi="Times New Roman" w:cs="Times New Roman"/>
          <w:sz w:val="24"/>
          <w:szCs w:val="24"/>
        </w:rPr>
        <w:t xml:space="preserve">they </w:t>
      </w:r>
      <w:r w:rsidR="007346A9" w:rsidRPr="003E6A65">
        <w:rPr>
          <w:rFonts w:ascii="Times New Roman" w:hAnsi="Times New Roman" w:cs="Times New Roman"/>
          <w:sz w:val="24"/>
          <w:szCs w:val="24"/>
        </w:rPr>
        <w:t>have the same needs as their direct reports work</w:t>
      </w:r>
      <w:r w:rsidR="00C653D8" w:rsidRPr="003E6A65">
        <w:rPr>
          <w:rFonts w:ascii="Times New Roman" w:hAnsi="Times New Roman" w:cs="Times New Roman"/>
          <w:sz w:val="24"/>
          <w:szCs w:val="24"/>
        </w:rPr>
        <w:t>ing</w:t>
      </w:r>
      <w:r w:rsidR="007346A9" w:rsidRPr="003E6A65">
        <w:rPr>
          <w:rFonts w:ascii="Times New Roman" w:hAnsi="Times New Roman" w:cs="Times New Roman"/>
          <w:sz w:val="24"/>
          <w:szCs w:val="24"/>
        </w:rPr>
        <w:t xml:space="preserve"> remotely and enjoy</w:t>
      </w:r>
      <w:r w:rsidR="00C653D8" w:rsidRPr="003E6A65">
        <w:rPr>
          <w:rFonts w:ascii="Times New Roman" w:hAnsi="Times New Roman" w:cs="Times New Roman"/>
          <w:sz w:val="24"/>
          <w:szCs w:val="24"/>
        </w:rPr>
        <w:t>ing</w:t>
      </w:r>
      <w:r w:rsidR="007346A9" w:rsidRPr="003E6A65">
        <w:rPr>
          <w:rFonts w:ascii="Times New Roman" w:hAnsi="Times New Roman" w:cs="Times New Roman"/>
          <w:sz w:val="24"/>
          <w:szCs w:val="24"/>
        </w:rPr>
        <w:t xml:space="preserve"> the ability to control </w:t>
      </w:r>
      <w:r w:rsidR="007346A9" w:rsidRPr="003E6A65">
        <w:rPr>
          <w:rFonts w:ascii="Times New Roman" w:hAnsi="Times New Roman" w:cs="Times New Roman"/>
          <w:i/>
          <w:sz w:val="24"/>
          <w:szCs w:val="24"/>
        </w:rPr>
        <w:t>their</w:t>
      </w:r>
      <w:r w:rsidR="00C653D8" w:rsidRPr="003E6A65">
        <w:rPr>
          <w:rFonts w:ascii="Times New Roman" w:hAnsi="Times New Roman" w:cs="Times New Roman"/>
          <w:i/>
          <w:sz w:val="24"/>
          <w:szCs w:val="24"/>
        </w:rPr>
        <w:t xml:space="preserve"> own</w:t>
      </w:r>
      <w:r w:rsidR="007346A9" w:rsidRPr="003E6A65">
        <w:rPr>
          <w:rFonts w:ascii="Times New Roman" w:hAnsi="Times New Roman" w:cs="Times New Roman"/>
          <w:i/>
          <w:sz w:val="24"/>
          <w:szCs w:val="24"/>
        </w:rPr>
        <w:t xml:space="preserve"> </w:t>
      </w:r>
      <w:r w:rsidR="007346A9" w:rsidRPr="003E6A65">
        <w:rPr>
          <w:rFonts w:ascii="Times New Roman" w:hAnsi="Times New Roman" w:cs="Times New Roman"/>
          <w:sz w:val="24"/>
          <w:szCs w:val="24"/>
        </w:rPr>
        <w:t xml:space="preserve">work time. </w:t>
      </w:r>
      <w:r w:rsidR="00C653D8" w:rsidRPr="003E6A65">
        <w:rPr>
          <w:rFonts w:ascii="Times New Roman" w:hAnsi="Times New Roman" w:cs="Times New Roman"/>
          <w:sz w:val="24"/>
          <w:szCs w:val="24"/>
        </w:rPr>
        <w:t xml:space="preserve"> Activities such as b</w:t>
      </w:r>
      <w:r w:rsidR="007346A9" w:rsidRPr="003E6A65">
        <w:rPr>
          <w:rFonts w:ascii="Times New Roman" w:hAnsi="Times New Roman" w:cs="Times New Roman"/>
          <w:sz w:val="24"/>
          <w:szCs w:val="24"/>
        </w:rPr>
        <w:t>eing present</w:t>
      </w:r>
      <w:r w:rsidR="00C653D8" w:rsidRPr="003E6A65">
        <w:rPr>
          <w:rFonts w:ascii="Times New Roman" w:hAnsi="Times New Roman" w:cs="Times New Roman"/>
          <w:sz w:val="24"/>
          <w:szCs w:val="24"/>
        </w:rPr>
        <w:t xml:space="preserve"> in the workplace to coach and guide direct reports</w:t>
      </w:r>
      <w:r w:rsidR="007346A9" w:rsidRPr="003E6A65">
        <w:rPr>
          <w:rFonts w:ascii="Times New Roman" w:hAnsi="Times New Roman" w:cs="Times New Roman"/>
          <w:sz w:val="24"/>
          <w:szCs w:val="24"/>
        </w:rPr>
        <w:t xml:space="preserve">, giving </w:t>
      </w:r>
      <w:r w:rsidR="00C653D8" w:rsidRPr="003E6A65">
        <w:rPr>
          <w:rFonts w:ascii="Times New Roman" w:hAnsi="Times New Roman" w:cs="Times New Roman"/>
          <w:sz w:val="24"/>
          <w:szCs w:val="24"/>
        </w:rPr>
        <w:t>them</w:t>
      </w:r>
      <w:r w:rsidR="007346A9" w:rsidRPr="003E6A65">
        <w:rPr>
          <w:rFonts w:ascii="Times New Roman" w:hAnsi="Times New Roman" w:cs="Times New Roman"/>
          <w:sz w:val="24"/>
          <w:szCs w:val="24"/>
        </w:rPr>
        <w:t xml:space="preserve"> the time to socialize, providing performance management</w:t>
      </w:r>
      <w:r w:rsidR="00C653D8" w:rsidRPr="003E6A65">
        <w:rPr>
          <w:rFonts w:ascii="Times New Roman" w:hAnsi="Times New Roman" w:cs="Times New Roman"/>
          <w:sz w:val="24"/>
          <w:szCs w:val="24"/>
        </w:rPr>
        <w:t>,</w:t>
      </w:r>
      <w:r w:rsidR="007346A9" w:rsidRPr="003E6A65">
        <w:rPr>
          <w:rFonts w:ascii="Times New Roman" w:hAnsi="Times New Roman" w:cs="Times New Roman"/>
          <w:sz w:val="24"/>
          <w:szCs w:val="24"/>
        </w:rPr>
        <w:t xml:space="preserve"> </w:t>
      </w:r>
      <w:r w:rsidR="00C653D8" w:rsidRPr="003E6A65">
        <w:rPr>
          <w:rFonts w:ascii="Times New Roman" w:hAnsi="Times New Roman" w:cs="Times New Roman"/>
          <w:sz w:val="24"/>
          <w:szCs w:val="24"/>
        </w:rPr>
        <w:t>and</w:t>
      </w:r>
      <w:r w:rsidR="007346A9" w:rsidRPr="003E6A65">
        <w:rPr>
          <w:rFonts w:ascii="Times New Roman" w:hAnsi="Times New Roman" w:cs="Times New Roman"/>
          <w:sz w:val="24"/>
          <w:szCs w:val="24"/>
        </w:rPr>
        <w:t xml:space="preserve"> having one-on-ones </w:t>
      </w:r>
      <w:r w:rsidR="00C653D8" w:rsidRPr="003E6A65">
        <w:rPr>
          <w:rFonts w:ascii="Times New Roman" w:hAnsi="Times New Roman" w:cs="Times New Roman"/>
          <w:sz w:val="24"/>
          <w:szCs w:val="24"/>
        </w:rPr>
        <w:t>are</w:t>
      </w:r>
      <w:r w:rsidR="007346A9" w:rsidRPr="003E6A65">
        <w:rPr>
          <w:rFonts w:ascii="Times New Roman" w:hAnsi="Times New Roman" w:cs="Times New Roman"/>
          <w:sz w:val="24"/>
          <w:szCs w:val="24"/>
        </w:rPr>
        <w:t xml:space="preserve"> inconsistent with </w:t>
      </w:r>
      <w:r w:rsidR="00C653D8" w:rsidRPr="003E6A65">
        <w:rPr>
          <w:rFonts w:ascii="Times New Roman" w:hAnsi="Times New Roman" w:cs="Times New Roman"/>
          <w:sz w:val="24"/>
          <w:szCs w:val="24"/>
        </w:rPr>
        <w:t xml:space="preserve">equally important activities such as managing remotely in order to focus on their own tasks and to control their time in addition to responding </w:t>
      </w:r>
      <w:r w:rsidR="007346A9" w:rsidRPr="003E6A65">
        <w:rPr>
          <w:rFonts w:ascii="Times New Roman" w:hAnsi="Times New Roman" w:cs="Times New Roman"/>
          <w:sz w:val="24"/>
          <w:szCs w:val="24"/>
        </w:rPr>
        <w:t>to their boss</w:t>
      </w:r>
      <w:r w:rsidR="00C653D8" w:rsidRPr="003E6A65">
        <w:rPr>
          <w:rFonts w:ascii="Times New Roman" w:hAnsi="Times New Roman" w:cs="Times New Roman"/>
          <w:sz w:val="24"/>
          <w:szCs w:val="24"/>
        </w:rPr>
        <w:t>’</w:t>
      </w:r>
      <w:r w:rsidR="007346A9" w:rsidRPr="003E6A65">
        <w:rPr>
          <w:rFonts w:ascii="Times New Roman" w:hAnsi="Times New Roman" w:cs="Times New Roman"/>
          <w:sz w:val="24"/>
          <w:szCs w:val="24"/>
        </w:rPr>
        <w:t xml:space="preserve"> demands for greater focus on </w:t>
      </w:r>
      <w:r w:rsidR="00E27789" w:rsidRPr="003E6A65">
        <w:rPr>
          <w:rFonts w:ascii="Times New Roman" w:hAnsi="Times New Roman" w:cs="Times New Roman"/>
          <w:sz w:val="24"/>
          <w:szCs w:val="24"/>
        </w:rPr>
        <w:t xml:space="preserve">organizational outcomes such as revenue and profit through greater worker engagement and effort.  </w:t>
      </w:r>
      <w:r w:rsidR="007346A9" w:rsidRPr="003E6A65">
        <w:rPr>
          <w:rFonts w:ascii="Times New Roman" w:hAnsi="Times New Roman" w:cs="Times New Roman"/>
          <w:sz w:val="24"/>
          <w:szCs w:val="24"/>
        </w:rPr>
        <w:t xml:space="preserve">This is not a winning formula for </w:t>
      </w:r>
      <w:r w:rsidR="00E27789" w:rsidRPr="003E6A65">
        <w:rPr>
          <w:rFonts w:ascii="Times New Roman" w:hAnsi="Times New Roman" w:cs="Times New Roman"/>
          <w:sz w:val="24"/>
          <w:szCs w:val="24"/>
        </w:rPr>
        <w:t>success</w:t>
      </w:r>
      <w:r w:rsidR="007346A9" w:rsidRPr="003E6A65">
        <w:rPr>
          <w:rFonts w:ascii="Times New Roman" w:hAnsi="Times New Roman" w:cs="Times New Roman"/>
          <w:sz w:val="24"/>
          <w:szCs w:val="24"/>
        </w:rPr>
        <w:t>.</w:t>
      </w:r>
    </w:p>
    <w:p w:rsidR="003E6A65" w:rsidRDefault="000A6576">
      <w:pPr>
        <w:rPr>
          <w:rFonts w:ascii="Times New Roman" w:hAnsi="Times New Roman" w:cs="Times New Roman"/>
          <w:sz w:val="24"/>
          <w:szCs w:val="24"/>
        </w:rPr>
      </w:pPr>
      <w:r w:rsidRPr="003E6A65">
        <w:rPr>
          <w:rFonts w:ascii="Times New Roman" w:hAnsi="Times New Roman" w:cs="Times New Roman"/>
          <w:sz w:val="24"/>
          <w:szCs w:val="24"/>
        </w:rPr>
        <w:t xml:space="preserve">To move toward a winning formula, </w:t>
      </w:r>
      <w:r w:rsidR="00E27789" w:rsidRPr="003E6A65">
        <w:rPr>
          <w:rFonts w:ascii="Times New Roman" w:hAnsi="Times New Roman" w:cs="Times New Roman"/>
          <w:sz w:val="24"/>
          <w:szCs w:val="24"/>
        </w:rPr>
        <w:t xml:space="preserve">it might be helpful </w:t>
      </w:r>
      <w:r w:rsidRPr="003E6A65">
        <w:rPr>
          <w:rFonts w:ascii="Times New Roman" w:hAnsi="Times New Roman" w:cs="Times New Roman"/>
          <w:sz w:val="24"/>
          <w:szCs w:val="24"/>
        </w:rPr>
        <w:t xml:space="preserve">to </w:t>
      </w:r>
      <w:r w:rsidR="00E27789" w:rsidRPr="003E6A65">
        <w:rPr>
          <w:rFonts w:ascii="Times New Roman" w:hAnsi="Times New Roman" w:cs="Times New Roman"/>
          <w:sz w:val="24"/>
          <w:szCs w:val="24"/>
        </w:rPr>
        <w:t xml:space="preserve">review </w:t>
      </w:r>
      <w:r w:rsidRPr="003E6A65">
        <w:rPr>
          <w:rFonts w:ascii="Times New Roman" w:hAnsi="Times New Roman" w:cs="Times New Roman"/>
          <w:sz w:val="24"/>
          <w:szCs w:val="24"/>
        </w:rPr>
        <w:t xml:space="preserve">a basic understanding of the </w:t>
      </w:r>
      <w:r w:rsidR="00E27789" w:rsidRPr="003E6A65">
        <w:rPr>
          <w:rFonts w:ascii="Times New Roman" w:hAnsi="Times New Roman" w:cs="Times New Roman"/>
          <w:sz w:val="24"/>
          <w:szCs w:val="24"/>
        </w:rPr>
        <w:t xml:space="preserve">components of performance effectiveness: </w:t>
      </w:r>
      <w:r w:rsidRPr="003E6A65">
        <w:rPr>
          <w:rFonts w:ascii="Times New Roman" w:hAnsi="Times New Roman" w:cs="Times New Roman"/>
          <w:sz w:val="24"/>
          <w:szCs w:val="24"/>
        </w:rPr>
        <w:t xml:space="preserve">Job Performance is a function of Ability times Motivation </w:t>
      </w:r>
      <w:r w:rsidR="00E27789" w:rsidRPr="003E6A65">
        <w:rPr>
          <w:rFonts w:ascii="Times New Roman" w:hAnsi="Times New Roman" w:cs="Times New Roman"/>
          <w:sz w:val="24"/>
          <w:szCs w:val="24"/>
        </w:rPr>
        <w:t>[</w:t>
      </w:r>
      <w:r w:rsidRPr="003E6A65">
        <w:rPr>
          <w:rFonts w:ascii="Times New Roman" w:hAnsi="Times New Roman" w:cs="Times New Roman"/>
          <w:sz w:val="24"/>
          <w:szCs w:val="24"/>
        </w:rPr>
        <w:t xml:space="preserve">Performance = </w:t>
      </w:r>
      <w:r w:rsidRPr="003E6A65">
        <w:rPr>
          <w:rFonts w:ascii="Times New Roman" w:hAnsi="Times New Roman" w:cs="Times New Roman"/>
          <w:i/>
          <w:sz w:val="24"/>
          <w:szCs w:val="24"/>
        </w:rPr>
        <w:t>f</w:t>
      </w:r>
      <w:r w:rsidRPr="003E6A65">
        <w:rPr>
          <w:rFonts w:ascii="Times New Roman" w:hAnsi="Times New Roman" w:cs="Times New Roman"/>
          <w:sz w:val="24"/>
          <w:szCs w:val="24"/>
        </w:rPr>
        <w:t>(Ability X Motivation)</w:t>
      </w:r>
      <w:r w:rsidR="00E27789" w:rsidRPr="003E6A65">
        <w:rPr>
          <w:rFonts w:ascii="Times New Roman" w:hAnsi="Times New Roman" w:cs="Times New Roman"/>
          <w:sz w:val="24"/>
          <w:szCs w:val="24"/>
        </w:rPr>
        <w:t>]</w:t>
      </w:r>
      <w:r w:rsidR="00296428">
        <w:rPr>
          <w:rFonts w:ascii="Times New Roman" w:hAnsi="Times New Roman" w:cs="Times New Roman"/>
          <w:sz w:val="24"/>
          <w:szCs w:val="24"/>
        </w:rPr>
        <w:t xml:space="preserve"> </w:t>
      </w:r>
      <w:r w:rsidRPr="003E6A65">
        <w:rPr>
          <w:rFonts w:ascii="Times New Roman" w:hAnsi="Times New Roman" w:cs="Times New Roman"/>
          <w:sz w:val="24"/>
          <w:szCs w:val="24"/>
        </w:rPr>
        <w:t xml:space="preserve">.  This means that </w:t>
      </w:r>
      <w:r w:rsidRPr="003E6A65">
        <w:rPr>
          <w:rFonts w:ascii="Times New Roman" w:hAnsi="Times New Roman" w:cs="Times New Roman"/>
          <w:i/>
          <w:sz w:val="24"/>
          <w:szCs w:val="24"/>
        </w:rPr>
        <w:t>both</w:t>
      </w:r>
      <w:r w:rsidRPr="003E6A65">
        <w:rPr>
          <w:rFonts w:ascii="Times New Roman" w:hAnsi="Times New Roman" w:cs="Times New Roman"/>
          <w:sz w:val="24"/>
          <w:szCs w:val="24"/>
        </w:rPr>
        <w:t xml:space="preserve"> ability and motivation </w:t>
      </w:r>
      <w:r w:rsidR="00E27789" w:rsidRPr="003E6A65">
        <w:rPr>
          <w:rFonts w:ascii="Times New Roman" w:hAnsi="Times New Roman" w:cs="Times New Roman"/>
          <w:sz w:val="24"/>
          <w:szCs w:val="24"/>
        </w:rPr>
        <w:t>must</w:t>
      </w:r>
      <w:r w:rsidRPr="003E6A65">
        <w:rPr>
          <w:rFonts w:ascii="Times New Roman" w:hAnsi="Times New Roman" w:cs="Times New Roman"/>
          <w:sz w:val="24"/>
          <w:szCs w:val="24"/>
        </w:rPr>
        <w:t xml:space="preserve"> be high </w:t>
      </w:r>
      <w:r w:rsidR="00E27789" w:rsidRPr="003E6A65">
        <w:rPr>
          <w:rFonts w:ascii="Times New Roman" w:hAnsi="Times New Roman" w:cs="Times New Roman"/>
          <w:sz w:val="24"/>
          <w:szCs w:val="24"/>
        </w:rPr>
        <w:t xml:space="preserve">for performance to be high; </w:t>
      </w:r>
      <w:r w:rsidRPr="003E6A65">
        <w:rPr>
          <w:rFonts w:ascii="Times New Roman" w:hAnsi="Times New Roman" w:cs="Times New Roman"/>
          <w:sz w:val="24"/>
          <w:szCs w:val="24"/>
        </w:rPr>
        <w:t xml:space="preserve">being high in one cannot compensate for being low in the other.  HR professionals understand that the best strategy is to hire for ability and then motivate new hires every day.  </w:t>
      </w:r>
      <w:r w:rsidR="00E27789" w:rsidRPr="003E6A65">
        <w:rPr>
          <w:rFonts w:ascii="Times New Roman" w:hAnsi="Times New Roman" w:cs="Times New Roman"/>
          <w:sz w:val="24"/>
          <w:szCs w:val="24"/>
        </w:rPr>
        <w:t>L</w:t>
      </w:r>
      <w:r w:rsidRPr="003E6A65">
        <w:rPr>
          <w:rFonts w:ascii="Times New Roman" w:hAnsi="Times New Roman" w:cs="Times New Roman"/>
          <w:sz w:val="24"/>
          <w:szCs w:val="24"/>
        </w:rPr>
        <w:t xml:space="preserve">eaders have forgotten during the pandemic the </w:t>
      </w:r>
      <w:r w:rsidRPr="003E6A65">
        <w:rPr>
          <w:rFonts w:ascii="Times New Roman" w:hAnsi="Times New Roman" w:cs="Times New Roman"/>
          <w:i/>
          <w:sz w:val="24"/>
          <w:szCs w:val="24"/>
        </w:rPr>
        <w:t>motivation</w:t>
      </w:r>
      <w:r w:rsidRPr="003E6A65">
        <w:rPr>
          <w:rFonts w:ascii="Times New Roman" w:hAnsi="Times New Roman" w:cs="Times New Roman"/>
          <w:sz w:val="24"/>
          <w:szCs w:val="24"/>
        </w:rPr>
        <w:t xml:space="preserve"> component of th</w:t>
      </w:r>
      <w:r w:rsidR="00E27789" w:rsidRPr="003E6A65">
        <w:rPr>
          <w:rFonts w:ascii="Times New Roman" w:hAnsi="Times New Roman" w:cs="Times New Roman"/>
          <w:sz w:val="24"/>
          <w:szCs w:val="24"/>
        </w:rPr>
        <w:t>is</w:t>
      </w:r>
      <w:r w:rsidRPr="003E6A65">
        <w:rPr>
          <w:rFonts w:ascii="Times New Roman" w:hAnsi="Times New Roman" w:cs="Times New Roman"/>
          <w:sz w:val="24"/>
          <w:szCs w:val="24"/>
        </w:rPr>
        <w:t xml:space="preserve"> equation.  The new contract </w:t>
      </w:r>
      <w:r w:rsidR="00E27789" w:rsidRPr="003E6A65">
        <w:rPr>
          <w:rFonts w:ascii="Times New Roman" w:hAnsi="Times New Roman" w:cs="Times New Roman"/>
          <w:sz w:val="24"/>
          <w:szCs w:val="24"/>
        </w:rPr>
        <w:t xml:space="preserve">recognizes </w:t>
      </w:r>
      <w:r w:rsidRPr="003E6A65">
        <w:rPr>
          <w:rFonts w:ascii="Times New Roman" w:hAnsi="Times New Roman" w:cs="Times New Roman"/>
          <w:sz w:val="24"/>
          <w:szCs w:val="24"/>
        </w:rPr>
        <w:t xml:space="preserve">that point: </w:t>
      </w:r>
      <w:r w:rsidR="00E27789" w:rsidRPr="003E6A65">
        <w:rPr>
          <w:rFonts w:ascii="Times New Roman" w:hAnsi="Times New Roman" w:cs="Times New Roman"/>
          <w:sz w:val="24"/>
          <w:szCs w:val="24"/>
        </w:rPr>
        <w:t xml:space="preserve">workers need to </w:t>
      </w:r>
      <w:r w:rsidR="00182DAE" w:rsidRPr="003E6A65">
        <w:rPr>
          <w:rFonts w:ascii="Times New Roman" w:hAnsi="Times New Roman" w:cs="Times New Roman"/>
          <w:sz w:val="24"/>
          <w:szCs w:val="24"/>
        </w:rPr>
        <w:t xml:space="preserve">experience working conditions that enable them to </w:t>
      </w:r>
      <w:r w:rsidR="00E27789" w:rsidRPr="003E6A65">
        <w:rPr>
          <w:rFonts w:ascii="Times New Roman" w:hAnsi="Times New Roman" w:cs="Times New Roman"/>
          <w:sz w:val="24"/>
          <w:szCs w:val="24"/>
        </w:rPr>
        <w:t xml:space="preserve">regain their intrinsic motivation </w:t>
      </w:r>
      <w:r w:rsidR="00182DAE" w:rsidRPr="003E6A65">
        <w:rPr>
          <w:rFonts w:ascii="Times New Roman" w:hAnsi="Times New Roman" w:cs="Times New Roman"/>
          <w:sz w:val="24"/>
          <w:szCs w:val="24"/>
        </w:rPr>
        <w:t xml:space="preserve">by satisfying their basic needs.  By doing so, they can engage and apply their talents in ways that satisfies both theirs and their employer’s objectives.  </w:t>
      </w:r>
      <w:r w:rsidRPr="003E6A65">
        <w:rPr>
          <w:rFonts w:ascii="Times New Roman" w:hAnsi="Times New Roman" w:cs="Times New Roman"/>
          <w:sz w:val="24"/>
          <w:szCs w:val="24"/>
        </w:rPr>
        <w:t xml:space="preserve">To </w:t>
      </w:r>
      <w:r w:rsidR="00182DAE" w:rsidRPr="003E6A65">
        <w:rPr>
          <w:rFonts w:ascii="Times New Roman" w:hAnsi="Times New Roman" w:cs="Times New Roman"/>
          <w:sz w:val="24"/>
          <w:szCs w:val="24"/>
        </w:rPr>
        <w:t xml:space="preserve">determine what workers’ needs are, </w:t>
      </w:r>
      <w:r w:rsidRPr="003E6A65">
        <w:rPr>
          <w:rFonts w:ascii="Times New Roman" w:hAnsi="Times New Roman" w:cs="Times New Roman"/>
          <w:sz w:val="24"/>
          <w:szCs w:val="24"/>
        </w:rPr>
        <w:t>ask them</w:t>
      </w:r>
      <w:r w:rsidR="00E64C0F" w:rsidRPr="003E6A65">
        <w:rPr>
          <w:rFonts w:ascii="Times New Roman" w:hAnsi="Times New Roman" w:cs="Times New Roman"/>
          <w:sz w:val="24"/>
          <w:szCs w:val="24"/>
        </w:rPr>
        <w:t xml:space="preserve"> directly and then build it</w:t>
      </w:r>
      <w:r w:rsidR="00182DAE" w:rsidRPr="003E6A65">
        <w:rPr>
          <w:rFonts w:ascii="Times New Roman" w:hAnsi="Times New Roman" w:cs="Times New Roman"/>
          <w:sz w:val="24"/>
          <w:szCs w:val="24"/>
        </w:rPr>
        <w:t>.  F</w:t>
      </w:r>
      <w:r w:rsidR="00E64C0F" w:rsidRPr="003E6A65">
        <w:rPr>
          <w:rFonts w:ascii="Times New Roman" w:hAnsi="Times New Roman" w:cs="Times New Roman"/>
          <w:sz w:val="24"/>
          <w:szCs w:val="24"/>
        </w:rPr>
        <w:t>ocus especially on removing disruptors</w:t>
      </w:r>
      <w:r w:rsidR="00182DAE" w:rsidRPr="003E6A65">
        <w:rPr>
          <w:rFonts w:ascii="Times New Roman" w:hAnsi="Times New Roman" w:cs="Times New Roman"/>
          <w:sz w:val="24"/>
          <w:szCs w:val="24"/>
        </w:rPr>
        <w:t xml:space="preserve"> and barriers to performance</w:t>
      </w:r>
      <w:r w:rsidR="00E64C0F" w:rsidRPr="003E6A65">
        <w:rPr>
          <w:rFonts w:ascii="Times New Roman" w:hAnsi="Times New Roman" w:cs="Times New Roman"/>
          <w:sz w:val="24"/>
          <w:szCs w:val="24"/>
        </w:rPr>
        <w:t xml:space="preserve">.  When intrinsic motivation re-emerges, so will productivity.  </w:t>
      </w:r>
      <w:r w:rsidR="00182DAE" w:rsidRPr="003E6A65">
        <w:rPr>
          <w:rFonts w:ascii="Times New Roman" w:hAnsi="Times New Roman" w:cs="Times New Roman"/>
          <w:sz w:val="24"/>
          <w:szCs w:val="24"/>
        </w:rPr>
        <w:t>Then w</w:t>
      </w:r>
      <w:r w:rsidR="00E64C0F" w:rsidRPr="003E6A65">
        <w:rPr>
          <w:rFonts w:ascii="Times New Roman" w:hAnsi="Times New Roman" w:cs="Times New Roman"/>
          <w:sz w:val="24"/>
          <w:szCs w:val="24"/>
        </w:rPr>
        <w:t>orkers, managers, and leaders will move in the same direction.</w:t>
      </w:r>
    </w:p>
    <w:p w:rsidR="003E6A65" w:rsidRDefault="003E6A65">
      <w:pPr>
        <w:rPr>
          <w:rFonts w:ascii="Times New Roman" w:hAnsi="Times New Roman" w:cs="Times New Roman"/>
          <w:sz w:val="24"/>
          <w:szCs w:val="24"/>
        </w:rPr>
      </w:pPr>
      <w:r>
        <w:rPr>
          <w:rFonts w:ascii="Times New Roman" w:hAnsi="Times New Roman" w:cs="Times New Roman"/>
          <w:sz w:val="24"/>
          <w:szCs w:val="24"/>
        </w:rPr>
        <w:br w:type="page"/>
      </w:r>
    </w:p>
    <w:p w:rsidR="00AE3B66" w:rsidRDefault="003E6A65" w:rsidP="003E6A65">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96428" w:rsidRDefault="00296428" w:rsidP="003E6A65">
      <w:pPr>
        <w:rPr>
          <w:rFonts w:ascii="Times New Roman" w:hAnsi="Times New Roman" w:cs="Times New Roman"/>
          <w:sz w:val="24"/>
          <w:szCs w:val="24"/>
        </w:rPr>
      </w:pPr>
      <w:r>
        <w:rPr>
          <w:rFonts w:ascii="Times New Roman" w:hAnsi="Times New Roman" w:cs="Times New Roman"/>
          <w:sz w:val="24"/>
          <w:szCs w:val="24"/>
        </w:rPr>
        <w:t xml:space="preserve">Banks, C.G. &amp; Witt, L.A. (2021). Leveraging healthy workplaces as a strategic benefit. </w:t>
      </w:r>
      <w:r>
        <w:rPr>
          <w:rFonts w:ascii="Times New Roman" w:hAnsi="Times New Roman" w:cs="Times New Roman"/>
          <w:i/>
          <w:sz w:val="24"/>
          <w:szCs w:val="24"/>
        </w:rPr>
        <w:t xml:space="preserve">The Journal of Total Rewards, </w:t>
      </w:r>
      <w:r w:rsidR="00E24C1D">
        <w:rPr>
          <w:rFonts w:ascii="Times New Roman" w:hAnsi="Times New Roman" w:cs="Times New Roman"/>
          <w:sz w:val="24"/>
          <w:szCs w:val="24"/>
        </w:rPr>
        <w:t>Q1, 55-70.</w:t>
      </w:r>
    </w:p>
    <w:p w:rsidR="00CA62EC" w:rsidRDefault="00E24C1D" w:rsidP="003E6A65">
      <w:pPr>
        <w:rPr>
          <w:rFonts w:ascii="Times New Roman" w:hAnsi="Times New Roman" w:cs="Times New Roman"/>
          <w:sz w:val="24"/>
          <w:szCs w:val="24"/>
        </w:rPr>
      </w:pPr>
      <w:r>
        <w:rPr>
          <w:rFonts w:ascii="Times New Roman" w:hAnsi="Times New Roman" w:cs="Times New Roman"/>
          <w:sz w:val="24"/>
          <w:szCs w:val="24"/>
        </w:rPr>
        <w:t>Goldberg, E.</w:t>
      </w:r>
      <w:r w:rsidR="00CA62EC">
        <w:rPr>
          <w:rFonts w:ascii="Times New Roman" w:hAnsi="Times New Roman" w:cs="Times New Roman"/>
          <w:sz w:val="24"/>
          <w:szCs w:val="24"/>
        </w:rPr>
        <w:t xml:space="preserve"> (2022, January 21). You quit. I quit. We all quit. And its not a coincidence. </w:t>
      </w:r>
      <w:r w:rsidR="00CA62EC">
        <w:rPr>
          <w:rFonts w:ascii="Times New Roman" w:hAnsi="Times New Roman" w:cs="Times New Roman"/>
          <w:i/>
          <w:sz w:val="24"/>
          <w:szCs w:val="24"/>
        </w:rPr>
        <w:t>The New York Times.</w:t>
      </w:r>
      <w:r w:rsidR="00CA62EC" w:rsidRPr="00CA62EC">
        <w:t xml:space="preserve"> </w:t>
      </w:r>
      <w:hyperlink r:id="rId4" w:history="1">
        <w:r w:rsidR="00CA62EC" w:rsidRPr="00FC6673">
          <w:rPr>
            <w:rStyle w:val="Hyperlink"/>
            <w:rFonts w:ascii="Times New Roman" w:hAnsi="Times New Roman" w:cs="Times New Roman"/>
            <w:sz w:val="24"/>
            <w:szCs w:val="24"/>
          </w:rPr>
          <w:t>https://www.nytimes.com/2022/01/21/business/quitting-contagious.html</w:t>
        </w:r>
      </w:hyperlink>
    </w:p>
    <w:p w:rsidR="00776753" w:rsidRDefault="00776753" w:rsidP="003E6A65">
      <w:pPr>
        <w:rPr>
          <w:rFonts w:ascii="Times New Roman" w:hAnsi="Times New Roman" w:cs="Times New Roman"/>
          <w:sz w:val="24"/>
          <w:szCs w:val="24"/>
        </w:rPr>
      </w:pPr>
      <w:r>
        <w:rPr>
          <w:rFonts w:ascii="Times New Roman" w:hAnsi="Times New Roman" w:cs="Times New Roman"/>
          <w:sz w:val="24"/>
          <w:szCs w:val="24"/>
        </w:rPr>
        <w:t xml:space="preserve">Lee, T. (Host). (2022, September 29). Ina Purvanova on employee flexibility, autonomy and everything in between (No. 76) [Audio podcast episode]. In </w:t>
      </w:r>
      <w:r w:rsidR="00CA62EC">
        <w:rPr>
          <w:rFonts w:ascii="Times New Roman" w:hAnsi="Times New Roman" w:cs="Times New Roman"/>
          <w:i/>
          <w:sz w:val="24"/>
          <w:szCs w:val="24"/>
        </w:rPr>
        <w:t xml:space="preserve">All Things Work Podcast, </w:t>
      </w:r>
      <w:r w:rsidR="00CA62EC">
        <w:rPr>
          <w:rFonts w:ascii="Times New Roman" w:hAnsi="Times New Roman" w:cs="Times New Roman"/>
          <w:sz w:val="24"/>
          <w:szCs w:val="24"/>
        </w:rPr>
        <w:t xml:space="preserve">SHRM. </w:t>
      </w:r>
      <w:r>
        <w:rPr>
          <w:rFonts w:ascii="Times New Roman" w:hAnsi="Times New Roman" w:cs="Times New Roman"/>
          <w:sz w:val="24"/>
          <w:szCs w:val="24"/>
        </w:rPr>
        <w:t xml:space="preserve"> </w:t>
      </w:r>
      <w:hyperlink r:id="rId5" w:history="1">
        <w:r w:rsidR="00CA62EC" w:rsidRPr="00FC6673">
          <w:rPr>
            <w:rStyle w:val="Hyperlink"/>
            <w:rFonts w:ascii="Times New Roman" w:hAnsi="Times New Roman" w:cs="Times New Roman"/>
            <w:sz w:val="24"/>
            <w:szCs w:val="24"/>
          </w:rPr>
          <w:t>https://all-things-work.simplecast.com/episodes/ina-purvanova/transcript</w:t>
        </w:r>
      </w:hyperlink>
    </w:p>
    <w:p w:rsidR="003E6A65" w:rsidRDefault="003E6A65" w:rsidP="003E6A65">
      <w:pPr>
        <w:rPr>
          <w:rFonts w:ascii="Times New Roman" w:hAnsi="Times New Roman" w:cs="Times New Roman"/>
          <w:sz w:val="24"/>
          <w:szCs w:val="24"/>
        </w:rPr>
      </w:pPr>
      <w:r>
        <w:rPr>
          <w:rFonts w:ascii="Times New Roman" w:hAnsi="Times New Roman" w:cs="Times New Roman"/>
          <w:sz w:val="24"/>
          <w:szCs w:val="24"/>
        </w:rPr>
        <w:t xml:space="preserve">Maslach, C. &amp; Leiter, M.P. (2022). </w:t>
      </w:r>
      <w:r>
        <w:rPr>
          <w:rFonts w:ascii="Times New Roman" w:hAnsi="Times New Roman" w:cs="Times New Roman"/>
          <w:i/>
          <w:sz w:val="24"/>
          <w:szCs w:val="24"/>
        </w:rPr>
        <w:t xml:space="preserve">The burnout challenge: Managing people’s relationships with their jobs. </w:t>
      </w:r>
      <w:r>
        <w:rPr>
          <w:rFonts w:ascii="Times New Roman" w:hAnsi="Times New Roman" w:cs="Times New Roman"/>
          <w:sz w:val="24"/>
          <w:szCs w:val="24"/>
        </w:rPr>
        <w:t>Harvard University Press.</w:t>
      </w:r>
    </w:p>
    <w:p w:rsidR="00E24C1D" w:rsidRDefault="00E24C1D" w:rsidP="003E6A65">
      <w:pPr>
        <w:rPr>
          <w:rFonts w:ascii="Times New Roman" w:hAnsi="Times New Roman" w:cs="Times New Roman"/>
          <w:sz w:val="24"/>
          <w:szCs w:val="24"/>
        </w:rPr>
      </w:pPr>
      <w:r>
        <w:rPr>
          <w:rFonts w:ascii="Times New Roman" w:hAnsi="Times New Roman" w:cs="Times New Roman"/>
          <w:sz w:val="24"/>
          <w:szCs w:val="24"/>
        </w:rPr>
        <w:t xml:space="preserve">Microsoft WorkLab 2021 Work Trend Index: Annual Report. </w:t>
      </w:r>
      <w:r>
        <w:rPr>
          <w:rFonts w:ascii="Times New Roman" w:hAnsi="Times New Roman" w:cs="Times New Roman"/>
          <w:i/>
          <w:sz w:val="24"/>
          <w:szCs w:val="24"/>
        </w:rPr>
        <w:t xml:space="preserve">The next great disruption is hybrid work—are we ready? </w:t>
      </w:r>
      <w:hyperlink r:id="rId6" w:history="1">
        <w:r w:rsidR="00CA62EC" w:rsidRPr="00FC6673">
          <w:rPr>
            <w:rStyle w:val="Hyperlink"/>
            <w:rFonts w:ascii="Times New Roman" w:hAnsi="Times New Roman" w:cs="Times New Roman"/>
            <w:sz w:val="24"/>
            <w:szCs w:val="24"/>
          </w:rPr>
          <w:t>https://www.microsoft.com/en-us/worklab/work-trend-index/hybrid-work</w:t>
        </w:r>
      </w:hyperlink>
    </w:p>
    <w:p w:rsidR="00E24C1D" w:rsidRDefault="00064D20" w:rsidP="003E6A65">
      <w:pPr>
        <w:rPr>
          <w:rFonts w:ascii="Times New Roman" w:hAnsi="Times New Roman" w:cs="Times New Roman"/>
          <w:sz w:val="24"/>
          <w:szCs w:val="24"/>
        </w:rPr>
      </w:pPr>
      <w:r>
        <w:rPr>
          <w:rFonts w:ascii="Times New Roman" w:hAnsi="Times New Roman" w:cs="Times New Roman"/>
          <w:sz w:val="24"/>
          <w:szCs w:val="24"/>
        </w:rPr>
        <w:t xml:space="preserve">Microsoft WorkLab 2022 Work Trend Index: Annual Report. </w:t>
      </w:r>
      <w:r>
        <w:rPr>
          <w:rFonts w:ascii="Times New Roman" w:hAnsi="Times New Roman" w:cs="Times New Roman"/>
          <w:i/>
          <w:sz w:val="24"/>
          <w:szCs w:val="24"/>
        </w:rPr>
        <w:t xml:space="preserve">Great expectations: making hybrid work </w:t>
      </w:r>
      <w:proofErr w:type="spellStart"/>
      <w:r>
        <w:rPr>
          <w:rFonts w:ascii="Times New Roman" w:hAnsi="Times New Roman" w:cs="Times New Roman"/>
          <w:i/>
          <w:sz w:val="24"/>
          <w:szCs w:val="24"/>
        </w:rPr>
        <w:t>work</w:t>
      </w:r>
      <w:proofErr w:type="spellEnd"/>
      <w:r>
        <w:rPr>
          <w:rFonts w:ascii="Times New Roman" w:hAnsi="Times New Roman" w:cs="Times New Roman"/>
          <w:i/>
          <w:sz w:val="24"/>
          <w:szCs w:val="24"/>
        </w:rPr>
        <w:t xml:space="preserve">. </w:t>
      </w:r>
      <w:hyperlink r:id="rId7" w:history="1">
        <w:r w:rsidR="00CA62EC" w:rsidRPr="00FC6673">
          <w:rPr>
            <w:rStyle w:val="Hyperlink"/>
            <w:rFonts w:ascii="Times New Roman" w:hAnsi="Times New Roman" w:cs="Times New Roman"/>
            <w:sz w:val="24"/>
            <w:szCs w:val="24"/>
          </w:rPr>
          <w:t>https://www.microsoft.com/en-us/worklab/work-trend-index/great-expectations-making-hybrid-work-work</w:t>
        </w:r>
      </w:hyperlink>
    </w:p>
    <w:p w:rsidR="003E6A65" w:rsidRDefault="00064D20" w:rsidP="003E6A65">
      <w:pPr>
        <w:rPr>
          <w:rFonts w:ascii="Times New Roman" w:hAnsi="Times New Roman" w:cs="Times New Roman"/>
          <w:sz w:val="24"/>
          <w:szCs w:val="24"/>
        </w:rPr>
      </w:pPr>
      <w:r>
        <w:rPr>
          <w:rFonts w:ascii="Times New Roman" w:hAnsi="Times New Roman" w:cs="Times New Roman"/>
          <w:sz w:val="24"/>
          <w:szCs w:val="24"/>
        </w:rPr>
        <w:t>P</w:t>
      </w:r>
      <w:r w:rsidR="006A48D5">
        <w:rPr>
          <w:rFonts w:ascii="Times New Roman" w:hAnsi="Times New Roman" w:cs="Times New Roman"/>
          <w:sz w:val="24"/>
          <w:szCs w:val="24"/>
        </w:rPr>
        <w:t xml:space="preserve">arker, K. &amp; Horowitz, J.M. (2022). </w:t>
      </w:r>
      <w:r w:rsidR="006A48D5">
        <w:rPr>
          <w:rFonts w:ascii="Times New Roman" w:hAnsi="Times New Roman" w:cs="Times New Roman"/>
          <w:i/>
          <w:sz w:val="24"/>
          <w:szCs w:val="24"/>
        </w:rPr>
        <w:t xml:space="preserve">Majority of workers who quit a job in 2021 cite low pay, no opportunity for advancement, feeling disrespect. </w:t>
      </w:r>
      <w:r w:rsidR="006A48D5">
        <w:rPr>
          <w:rFonts w:ascii="Times New Roman" w:hAnsi="Times New Roman" w:cs="Times New Roman"/>
          <w:sz w:val="24"/>
          <w:szCs w:val="24"/>
        </w:rPr>
        <w:t xml:space="preserve">Pew Research Center. </w:t>
      </w:r>
      <w:hyperlink r:id="rId8" w:history="1">
        <w:r w:rsidR="006A48D5" w:rsidRPr="00FC6673">
          <w:rPr>
            <w:rStyle w:val="Hyperlink"/>
            <w:rFonts w:ascii="Times New Roman" w:hAnsi="Times New Roman" w:cs="Times New Roman"/>
            <w:sz w:val="24"/>
            <w:szCs w:val="24"/>
          </w:rPr>
          <w:t>https://www.pewresearch.org/ft_22-03-09_resignation-featured-image/</w:t>
        </w:r>
      </w:hyperlink>
    </w:p>
    <w:p w:rsidR="006A48D5" w:rsidRPr="006A48D5" w:rsidRDefault="006A48D5" w:rsidP="003E6A65">
      <w:pPr>
        <w:rPr>
          <w:rFonts w:ascii="Times New Roman" w:hAnsi="Times New Roman" w:cs="Times New Roman"/>
          <w:sz w:val="24"/>
          <w:szCs w:val="24"/>
        </w:rPr>
      </w:pPr>
    </w:p>
    <w:sectPr w:rsidR="006A48D5" w:rsidRPr="006A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3B"/>
    <w:rsid w:val="00064D20"/>
    <w:rsid w:val="0008053B"/>
    <w:rsid w:val="000A6576"/>
    <w:rsid w:val="00182DAE"/>
    <w:rsid w:val="00184830"/>
    <w:rsid w:val="001E1865"/>
    <w:rsid w:val="00296428"/>
    <w:rsid w:val="002A7A8D"/>
    <w:rsid w:val="00320E27"/>
    <w:rsid w:val="003B37F9"/>
    <w:rsid w:val="003E6A65"/>
    <w:rsid w:val="004D252C"/>
    <w:rsid w:val="00586504"/>
    <w:rsid w:val="006A48D5"/>
    <w:rsid w:val="006A6EA5"/>
    <w:rsid w:val="007346A9"/>
    <w:rsid w:val="00776753"/>
    <w:rsid w:val="00890D2A"/>
    <w:rsid w:val="008A1228"/>
    <w:rsid w:val="008B0A5F"/>
    <w:rsid w:val="009436E8"/>
    <w:rsid w:val="009B67C0"/>
    <w:rsid w:val="00AE3B66"/>
    <w:rsid w:val="00C653D8"/>
    <w:rsid w:val="00CA62EC"/>
    <w:rsid w:val="00CD4714"/>
    <w:rsid w:val="00D90660"/>
    <w:rsid w:val="00E24C1D"/>
    <w:rsid w:val="00E27789"/>
    <w:rsid w:val="00E64C0F"/>
    <w:rsid w:val="00E845CF"/>
    <w:rsid w:val="00F5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3AD3"/>
  <w15:chartTrackingRefBased/>
  <w15:docId w15:val="{668F42AD-1A4D-43D5-97BC-F1B8A414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8D5"/>
    <w:rPr>
      <w:color w:val="0563C1" w:themeColor="hyperlink"/>
      <w:u w:val="single"/>
    </w:rPr>
  </w:style>
  <w:style w:type="character" w:styleId="UnresolvedMention">
    <w:name w:val="Unresolved Mention"/>
    <w:basedOn w:val="DefaultParagraphFont"/>
    <w:uiPriority w:val="99"/>
    <w:semiHidden/>
    <w:unhideWhenUsed/>
    <w:rsid w:val="006A4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ft_22-03-09_resignation-featured-image/" TargetMode="External"/><Relationship Id="rId3" Type="http://schemas.openxmlformats.org/officeDocument/2006/relationships/webSettings" Target="webSettings.xml"/><Relationship Id="rId7" Type="http://schemas.openxmlformats.org/officeDocument/2006/relationships/hyperlink" Target="https://www.microsoft.com/en-us/worklab/work-trend-index/great-expectations-making-hybrid-work-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oft.com/en-us/worklab/work-trend-index/hybrid-work" TargetMode="External"/><Relationship Id="rId5" Type="http://schemas.openxmlformats.org/officeDocument/2006/relationships/hyperlink" Target="https://all-things-work.simplecast.com/episodes/ina-purvanova/transcript" TargetMode="External"/><Relationship Id="rId10" Type="http://schemas.openxmlformats.org/officeDocument/2006/relationships/theme" Target="theme/theme1.xml"/><Relationship Id="rId4" Type="http://schemas.openxmlformats.org/officeDocument/2006/relationships/hyperlink" Target="https://www.nytimes.com/2022/01/21/business/quitting-contagiou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 BANKS</dc:creator>
  <cp:keywords/>
  <dc:description/>
  <cp:lastModifiedBy>Cristina G. BANKS</cp:lastModifiedBy>
  <cp:revision>2</cp:revision>
  <dcterms:created xsi:type="dcterms:W3CDTF">2023-01-06T23:02:00Z</dcterms:created>
  <dcterms:modified xsi:type="dcterms:W3CDTF">2023-01-06T23:02:00Z</dcterms:modified>
</cp:coreProperties>
</file>